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1F4E79"/>
          <w:sz w:val="32"/>
          <w:szCs w:val="32"/>
        </w:rPr>
        <w:t xml:space="preserve">Preparing for Your Child's First OT Session</w:t>
      </w:r>
    </w:p>
    <w:p>
      <w:pPr>
        <w:spacing w:after="200"/>
        <w:jc w:val="center"/>
      </w:pPr>
      <w:r>
        <w:rPr>
          <w:i/>
          <w:iCs/>
          <w:color w:val="555555"/>
          <w:sz w:val="20"/>
          <w:szCs w:val="20"/>
        </w:rPr>
        <w:t xml:space="preserve">A guide for parents and caregivers</w:t>
      </w:r>
    </w:p>
    <w:p>
      <w:pPr>
        <w:pStyle w:val="Heading1"/>
        <w:pBdr>
          <w:bottom w:val="single" w:color="9CA3AF" w:sz="6" w:space="2"/>
        </w:pBdr>
        <w:spacing w:after="120" w:before="200"/>
      </w:pPr>
      <w:r>
        <w:rPr>
          <w:b/>
          <w:bCs/>
          <w:color w:val="1F4E79"/>
          <w:sz w:val="26"/>
          <w:szCs w:val="26"/>
        </w:rPr>
        <w:t xml:space="preserve">What Is the First Visit?</w:t>
      </w:r>
    </w:p>
    <w:p>
      <w:pPr>
        <w:spacing w:after="100"/>
      </w:pPr>
      <w:r>
        <w:rPr>
          <w:i w:val="false"/>
          <w:iCs w:val="false"/>
          <w:sz w:val="20"/>
          <w:szCs w:val="20"/>
        </w:rPr>
        <w:t xml:space="preserve">The first appointment is usually an evaluation, not a treatment session. The occupational therapist (OT) will get to know your child, observe their skills, and gather information from you to understand strengths and areas of difficulty. It typically lasts one to two hours.</w:t>
      </w:r>
    </w:p>
    <w:p>
      <w:pPr>
        <w:pStyle w:val="ListParagraph"/>
        <w:numPr>
          <w:ilvl w:val="0"/>
          <w:numId w:val="2"/>
        </w:numPr>
        <w:spacing w:after="60"/>
      </w:pPr>
      <w:r>
        <w:rPr>
          <w:sz w:val="20"/>
          <w:szCs w:val="20"/>
        </w:rPr>
        <w:t xml:space="preserve">The OT will ask about your concerns, your child's medical history, and any previous therapies</w:t>
      </w:r>
    </w:p>
    <w:p>
      <w:pPr>
        <w:pStyle w:val="ListParagraph"/>
        <w:numPr>
          <w:ilvl w:val="0"/>
          <w:numId w:val="2"/>
        </w:numPr>
        <w:spacing w:after="60"/>
      </w:pPr>
      <w:r>
        <w:rPr>
          <w:sz w:val="20"/>
          <w:szCs w:val="20"/>
        </w:rPr>
        <w:t xml:space="preserve">Your child will be observed during play-based activities that assess fine motor, gross motor, and sensory skills</w:t>
      </w:r>
    </w:p>
    <w:p>
      <w:pPr>
        <w:pStyle w:val="ListParagraph"/>
        <w:numPr>
          <w:ilvl w:val="0"/>
          <w:numId w:val="2"/>
        </w:numPr>
        <w:spacing w:after="60"/>
      </w:pPr>
      <w:r>
        <w:rPr>
          <w:sz w:val="20"/>
          <w:szCs w:val="20"/>
        </w:rPr>
        <w:t xml:space="preserve">Standardized tests, checklists, and parent questionnaires may be used alongside observation</w:t>
      </w:r>
    </w:p>
    <w:p>
      <w:pPr>
        <w:pStyle w:val="ListParagraph"/>
        <w:numPr>
          <w:ilvl w:val="0"/>
          <w:numId w:val="2"/>
        </w:numPr>
        <w:spacing w:after="60"/>
      </w:pPr>
      <w:r>
        <w:rPr>
          <w:sz w:val="20"/>
          <w:szCs w:val="20"/>
        </w:rPr>
        <w:t xml:space="preserve">The session usually ends with a general sense of next steps; scored results and a full plan may follow in a separate call or report</w:t>
      </w:r>
    </w:p>
    <w:p>
      <w:pPr>
        <w:pStyle w:val="Heading1"/>
        <w:pBdr>
          <w:bottom w:val="single" w:color="9CA3AF" w:sz="6" w:space="2"/>
        </w:pBdr>
        <w:spacing w:after="120" w:before="200"/>
      </w:pPr>
      <w:r>
        <w:rPr>
          <w:b/>
          <w:bCs/>
          <w:color w:val="1F4E79"/>
          <w:sz w:val="26"/>
          <w:szCs w:val="26"/>
        </w:rPr>
        <w:t xml:space="preserve">Paperwork and Referrals</w:t>
      </w:r>
    </w:p>
    <w:p>
      <w:pPr>
        <w:pStyle w:val="ListParagraph"/>
        <w:numPr>
          <w:ilvl w:val="0"/>
          <w:numId w:val="2"/>
        </w:numPr>
        <w:spacing w:after="60"/>
      </w:pPr>
      <w:r>
        <w:rPr>
          <w:sz w:val="20"/>
          <w:szCs w:val="20"/>
        </w:rPr>
        <w:t xml:space="preserve">Most clinics require a physician's referral before scheduling an OT evaluation</w:t>
      </w:r>
    </w:p>
    <w:p>
      <w:pPr>
        <w:pStyle w:val="ListParagraph"/>
        <w:numPr>
          <w:ilvl w:val="0"/>
          <w:numId w:val="2"/>
        </w:numPr>
        <w:spacing w:after="60"/>
      </w:pPr>
      <w:r>
        <w:rPr>
          <w:sz w:val="20"/>
          <w:szCs w:val="20"/>
        </w:rPr>
        <w:t xml:space="preserve">Expect intake forms covering insurance, medical history, and consent — ask if these can be completed online in advance</w:t>
      </w:r>
    </w:p>
    <w:p>
      <w:pPr>
        <w:pStyle w:val="ListParagraph"/>
        <w:numPr>
          <w:ilvl w:val="0"/>
          <w:numId w:val="2"/>
        </w:numPr>
        <w:spacing w:after="60"/>
      </w:pPr>
      <w:r>
        <w:rPr>
          <w:sz w:val="20"/>
          <w:szCs w:val="20"/>
        </w:rPr>
        <w:t xml:space="preserve">You may be asked to fill out checklists in advance (e.g. sensory processing, self-care, or behavioral checklists)</w:t>
      </w:r>
    </w:p>
    <w:p>
      <w:pPr>
        <w:pStyle w:val="Heading1"/>
        <w:pBdr>
          <w:bottom w:val="single" w:color="9CA3AF" w:sz="6" w:space="2"/>
        </w:pBdr>
        <w:spacing w:after="120" w:before="200"/>
      </w:pPr>
      <w:r>
        <w:rPr>
          <w:b/>
          <w:bCs/>
          <w:color w:val="1F4E79"/>
          <w:sz w:val="26"/>
          <w:szCs w:val="26"/>
        </w:rPr>
        <w:t xml:space="preserve">What to Bring</w:t>
      </w:r>
    </w:p>
    <w:p>
      <w:pPr>
        <w:pStyle w:val="ListParagraph"/>
        <w:numPr>
          <w:ilvl w:val="0"/>
          <w:numId w:val="2"/>
        </w:numPr>
        <w:spacing w:after="60"/>
      </w:pPr>
      <w:r>
        <w:rPr>
          <w:sz w:val="20"/>
          <w:szCs w:val="20"/>
        </w:rPr>
        <w:t xml:space="preserve">A written list of your concerns and questions — it's easy to forget them in the moment</w:t>
      </w:r>
    </w:p>
    <w:p>
      <w:pPr>
        <w:pStyle w:val="ListParagraph"/>
        <w:numPr>
          <w:ilvl w:val="0"/>
          <w:numId w:val="2"/>
        </w:numPr>
        <w:spacing w:after="60"/>
      </w:pPr>
      <w:r>
        <w:rPr>
          <w:sz w:val="20"/>
          <w:szCs w:val="20"/>
        </w:rPr>
        <w:t xml:space="preserve">Examples of your child's handwriting or drawings, if handwriting is a concern</w:t>
      </w:r>
    </w:p>
    <w:p>
      <w:pPr>
        <w:pStyle w:val="ListParagraph"/>
        <w:numPr>
          <w:ilvl w:val="0"/>
          <w:numId w:val="2"/>
        </w:numPr>
        <w:spacing w:after="60"/>
      </w:pPr>
      <w:r>
        <w:rPr>
          <w:sz w:val="20"/>
          <w:szCs w:val="20"/>
        </w:rPr>
        <w:t xml:space="preserve">Any relevant medical records or reports from other providers</w:t>
      </w:r>
    </w:p>
    <w:p>
      <w:pPr>
        <w:pStyle w:val="ListParagraph"/>
        <w:numPr>
          <w:ilvl w:val="0"/>
          <w:numId w:val="2"/>
        </w:numPr>
        <w:spacing w:after="60"/>
      </w:pPr>
      <w:r>
        <w:rPr>
          <w:sz w:val="20"/>
          <w:szCs w:val="20"/>
        </w:rPr>
        <w:t xml:space="preserve">A comfort item (favorite toy or blanket) if it will help your child feel at ease</w:t>
      </w:r>
    </w:p>
    <w:p>
      <w:pPr>
        <w:pStyle w:val="Heading1"/>
        <w:pBdr>
          <w:bottom w:val="single" w:color="9CA3AF" w:sz="6" w:space="2"/>
        </w:pBdr>
        <w:spacing w:after="120" w:before="200"/>
      </w:pPr>
      <w:r>
        <w:rPr>
          <w:b/>
          <w:bCs/>
          <w:color w:val="1F4E79"/>
          <w:sz w:val="26"/>
          <w:szCs w:val="26"/>
        </w:rPr>
        <w:t xml:space="preserve">Preparing Your Child</w:t>
      </w:r>
    </w:p>
    <w:p>
      <w:pPr>
        <w:pStyle w:val="ListParagraph"/>
        <w:numPr>
          <w:ilvl w:val="0"/>
          <w:numId w:val="2"/>
        </w:numPr>
        <w:spacing w:after="60"/>
      </w:pPr>
      <w:r>
        <w:rPr>
          <w:sz w:val="20"/>
          <w:szCs w:val="20"/>
        </w:rPr>
        <w:t xml:space="preserve">Tell your child about the appointment ahead of time — children often feel calmer knowing what to expect</w:t>
      </w:r>
    </w:p>
    <w:p>
      <w:pPr>
        <w:pStyle w:val="ListParagraph"/>
        <w:numPr>
          <w:ilvl w:val="0"/>
          <w:numId w:val="2"/>
        </w:numPr>
        <w:spacing w:after="60"/>
      </w:pPr>
      <w:r>
        <w:rPr>
          <w:sz w:val="20"/>
          <w:szCs w:val="20"/>
        </w:rPr>
        <w:t xml:space="preserve">Explain in simple terms that the therapist will play and do activities with them to help them learn new skills</w:t>
      </w:r>
    </w:p>
    <w:p>
      <w:pPr>
        <w:pStyle w:val="ListParagraph"/>
        <w:numPr>
          <w:ilvl w:val="0"/>
          <w:numId w:val="2"/>
        </w:numPr>
        <w:spacing w:after="60"/>
      </w:pPr>
      <w:r>
        <w:rPr>
          <w:sz w:val="20"/>
          <w:szCs w:val="20"/>
        </w:rPr>
        <w:t xml:space="preserve">Reassure younger children there will be no injections or medical procedures, if that's a worry</w:t>
      </w:r>
    </w:p>
    <w:p>
      <w:pPr>
        <w:pStyle w:val="ListParagraph"/>
        <w:numPr>
          <w:ilvl w:val="0"/>
          <w:numId w:val="2"/>
        </w:numPr>
        <w:spacing w:after="60"/>
      </w:pPr>
      <w:r>
        <w:rPr>
          <w:sz w:val="20"/>
          <w:szCs w:val="20"/>
        </w:rPr>
        <w:t xml:space="preserve">Dress your child in comfortable clothing they can move freely in — sessions often involve running, jumping, or climbing</w:t>
      </w:r>
    </w:p>
    <w:p>
      <w:pPr>
        <w:pStyle w:val="Heading1"/>
        <w:pBdr>
          <w:bottom w:val="single" w:color="9CA3AF" w:sz="6" w:space="2"/>
        </w:pBdr>
        <w:spacing w:after="120" w:before="200"/>
      </w:pPr>
      <w:r>
        <w:rPr>
          <w:b/>
          <w:bCs/>
          <w:color w:val="1F4E79"/>
          <w:sz w:val="26"/>
          <w:szCs w:val="26"/>
        </w:rPr>
        <w:t xml:space="preserve">During the Session</w:t>
      </w:r>
    </w:p>
    <w:p>
      <w:pPr>
        <w:pStyle w:val="ListParagraph"/>
        <w:numPr>
          <w:ilvl w:val="0"/>
          <w:numId w:val="2"/>
        </w:numPr>
        <w:spacing w:after="60"/>
      </w:pPr>
      <w:r>
        <w:rPr>
          <w:sz w:val="20"/>
          <w:szCs w:val="20"/>
        </w:rPr>
        <w:t xml:space="preserve">At least one parent or guardian is usually required to stay for the initial evaluation, partly to provide consent for treatment</w:t>
      </w:r>
    </w:p>
    <w:p>
      <w:pPr>
        <w:pStyle w:val="ListParagraph"/>
        <w:numPr>
          <w:ilvl w:val="0"/>
          <w:numId w:val="2"/>
        </w:numPr>
        <w:spacing w:after="60"/>
      </w:pPr>
      <w:r>
        <w:rPr>
          <w:sz w:val="20"/>
          <w:szCs w:val="20"/>
        </w:rPr>
        <w:t xml:space="preserve">Siblings are generally asked not to be in the room during the evaluation</w:t>
      </w:r>
    </w:p>
    <w:p>
      <w:pPr>
        <w:pStyle w:val="ListParagraph"/>
        <w:numPr>
          <w:ilvl w:val="0"/>
          <w:numId w:val="2"/>
        </w:numPr>
        <w:spacing w:after="60"/>
      </w:pPr>
      <w:r>
        <w:rPr>
          <w:sz w:val="20"/>
          <w:szCs w:val="20"/>
        </w:rPr>
        <w:t xml:space="preserve">It's normal for your child to need a little time to warm up — the OT is trained to work with this</w:t>
      </w:r>
    </w:p>
    <w:p>
      <w:pPr>
        <w:pStyle w:val="ListParagraph"/>
        <w:numPr>
          <w:ilvl w:val="0"/>
          <w:numId w:val="2"/>
        </w:numPr>
        <w:spacing w:after="60"/>
      </w:pPr>
      <w:r>
        <w:rPr>
          <w:sz w:val="20"/>
          <w:szCs w:val="20"/>
        </w:rPr>
        <w:t xml:space="preserve">Ask before taking photos or video; many clinics have specific policies on recording sessions</w:t>
      </w:r>
    </w:p>
    <w:p>
      <w:pPr>
        <w:pStyle w:val="Heading1"/>
        <w:pBdr>
          <w:bottom w:val="single" w:color="9CA3AF" w:sz="6" w:space="2"/>
        </w:pBdr>
        <w:spacing w:after="120" w:before="200"/>
      </w:pPr>
      <w:r>
        <w:rPr>
          <w:b/>
          <w:bCs/>
          <w:color w:val="1F4E79"/>
          <w:sz w:val="26"/>
          <w:szCs w:val="26"/>
        </w:rPr>
        <w:t xml:space="preserve">Questions You Might Ask the Therapist</w:t>
      </w:r>
    </w:p>
    <w:p>
      <w:pPr>
        <w:pStyle w:val="ListParagraph"/>
        <w:numPr>
          <w:ilvl w:val="0"/>
          <w:numId w:val="2"/>
        </w:numPr>
        <w:spacing w:after="60"/>
      </w:pPr>
      <w:r>
        <w:rPr>
          <w:sz w:val="20"/>
          <w:szCs w:val="20"/>
        </w:rPr>
        <w:t xml:space="preserve">What skills or areas will we be focusing on, and how were they identified?</w:t>
      </w:r>
    </w:p>
    <w:p>
      <w:pPr>
        <w:pStyle w:val="ListParagraph"/>
        <w:numPr>
          <w:ilvl w:val="0"/>
          <w:numId w:val="2"/>
        </w:numPr>
        <w:spacing w:after="60"/>
      </w:pPr>
      <w:r>
        <w:rPr>
          <w:sz w:val="20"/>
          <w:szCs w:val="20"/>
        </w:rPr>
        <w:t xml:space="preserve">How often and for how long do you recommend sessions?</w:t>
      </w:r>
    </w:p>
    <w:p>
      <w:pPr>
        <w:pStyle w:val="ListParagraph"/>
        <w:numPr>
          <w:ilvl w:val="0"/>
          <w:numId w:val="2"/>
        </w:numPr>
        <w:spacing w:after="60"/>
      </w:pPr>
      <w:r>
        <w:rPr>
          <w:sz w:val="20"/>
          <w:szCs w:val="20"/>
        </w:rPr>
        <w:t xml:space="preserve">What can we do at home between sessions to support progress?</w:t>
      </w:r>
    </w:p>
    <w:p>
      <w:pPr>
        <w:pStyle w:val="ListParagraph"/>
        <w:numPr>
          <w:ilvl w:val="0"/>
          <w:numId w:val="2"/>
        </w:numPr>
        <w:spacing w:after="60"/>
      </w:pPr>
      <w:r>
        <w:rPr>
          <w:sz w:val="20"/>
          <w:szCs w:val="20"/>
        </w:rPr>
        <w:t xml:space="preserve">How will we know if therapy is working, and how is progress measured?</w:t>
      </w:r>
    </w:p>
    <w:p>
      <w:pPr>
        <w:pBdr>
          <w:top w:val="single" w:color="9CA3AF" w:sz="4" w:space="4"/>
        </w:pBdr>
        <w:spacing w:after="80" w:before="240"/>
      </w:pPr>
      <w:r>
        <w:rPr>
          <w:b/>
          <w:bCs/>
          <w:color w:val="555555"/>
          <w:sz w:val="18"/>
          <w:szCs w:val="18"/>
        </w:rPr>
        <w:t xml:space="preserve">A note on this handout</w:t>
      </w:r>
    </w:p>
    <w:p>
      <w:pPr>
        <w:spacing w:after="100"/>
      </w:pPr>
      <w:r>
        <w:rPr>
          <w:i/>
          <w:iCs/>
          <w:sz w:val="20"/>
          <w:szCs w:val="20"/>
        </w:rPr>
        <w:t xml:space="preserve">Every clinic and therapist runs their first session a little differently. This is a general guide — check with your specific provider ahead of time for their exact process, required paperwork, and what to bring.</w:t>
      </w:r>
    </w:p>
    <w:p>
      <w:pPr>
        <w:spacing w:after="60" w:before="200"/>
      </w:pPr>
      <w:r>
        <w:rPr>
          <w:b/>
          <w:bCs/>
          <w:color w:val="1F4E79"/>
          <w:sz w:val="20"/>
          <w:szCs w:val="20"/>
        </w:rPr>
        <w:t xml:space="preserve">References</w:t>
      </w:r>
    </w:p>
    <w:p>
      <w:pPr>
        <w:spacing w:after="40"/>
      </w:pPr>
      <w:r>
        <w:rPr>
          <w:sz w:val="16"/>
          <w:szCs w:val="16"/>
        </w:rPr>
        <w:t xml:space="preserve">Lurie Children's Hospital. How to Prepare for Occupational Therapy. luriechildrens.org/en/specialties-conditions/pediatric-occupational-therapy/prepare-for-occupational-therapy/</w:t>
      </w:r>
    </w:p>
    <w:p>
      <w:pPr>
        <w:spacing w:after="40"/>
      </w:pPr>
      <w:r>
        <w:rPr>
          <w:sz w:val="16"/>
          <w:szCs w:val="16"/>
        </w:rPr>
        <w:t xml:space="preserve">Cleveland Clinic. Pediatric Occupational Therapy: What Is It? my.clevelandclinic.org/health/treatments/25094-pediatric-occupational-therapy (updated Jan 2026)</w:t>
      </w:r>
    </w:p>
    <w:p>
      <w:pPr>
        <w:spacing w:after="40"/>
      </w:pPr>
      <w:r>
        <w:rPr>
          <w:sz w:val="16"/>
          <w:szCs w:val="16"/>
        </w:rPr>
        <w:t xml:space="preserve">Cincinnati Children's Hospital. What to Expect: Occupational Therapy and Physical Therapy. cincinnatichildrens.org/service/o/ot-pt/expect</w:t>
      </w:r>
    </w:p>
    <w:sectPr>
      <w:pgSz w:w="12240" w:h="15840"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2026-07-08T08:51:46.058Z</dcterms:created>
  <dcterms:modified xsi:type="dcterms:W3CDTF">2026-07-08T08:51:46.058Z</dcterms:modified>
</cp:coreProperties>
</file>

<file path=docProps/custom.xml><?xml version="1.0" encoding="utf-8"?>
<Properties xmlns="http://schemas.openxmlformats.org/officeDocument/2006/custom-properties" xmlns:vt="http://schemas.openxmlformats.org/officeDocument/2006/docPropsVTypes"/>
</file>